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宽频带远程波导通讯</w:t>
      </w:r>
    </w:p>
    <w:p>
      <w:r>
        <w:rPr>
          <w:rFonts w:ascii="宋体" w:hAnsi="宋体" w:eastAsia="宋体"/>
          <w:sz w:val="24"/>
        </w:rPr>
        <w:t>（苏）卡兹纳切也夫（Ю.И.Казначеев）著；王文涛等译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宽频带远程波导通讯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（苏）卡兹纳切也夫（Ю.И.Казначеев）著；王文涛等译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本书出售、求购地址：https://www.jiaokey.com/book/detail/10253288.html</w:t>
      </w:r>
    </w:p>
    <w:p>
      <w:r>
        <w:t>更多相关图书推荐：https://www.jiaokey.com</w:t>
      </w:r>
    </w:p>
    <w:p>
      <w:r>
        <w:t>（苏）卡兹纳切也夫（Ю.И.Казначеев）著；王文涛等译 其他作品：https://www.jiaokey.com/tag/（苏）卡兹纳切也夫（Ю.И.Казначеев）著；王文涛等译.html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关键词搜索：https://www.jiaokey.com/tag/宽频带远程波导通讯.html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