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机械零件的修复</w:t>
      </w:r>
    </w:p>
    <w:p>
      <w:r>
        <w:rPr>
          <w:rFonts w:ascii="宋体" w:hAnsi="宋体" w:eastAsia="宋体"/>
          <w:sz w:val="24"/>
        </w:rPr>
        <w:t>（苏）Н.В.莫洛德克，（苏）А.С.津金著；冶金工业部北京冶金设备研究院译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机械零件的修复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（苏）Н.В.莫洛德克，（苏）А.С.津金著；冶金工业部北京冶金设备研究院译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本书出售、求购地址：https://www.jiaokey.com/book/detail/10252963.html</w:t>
      </w:r>
    </w:p>
    <w:p>
      <w:r>
        <w:t>更多相关图书推荐：https://www.jiaokey.com</w:t>
      </w:r>
    </w:p>
    <w:p>
      <w:r>
        <w:t>（苏）Н.В.莫洛德克，（苏）А.С.津金著；冶金工业部北京冶金设备研究院译 其他作品：https://www.jiaokey.com/tag/（苏）Н.В.莫洛德克，（苏）А.С.津金著；冶金工业部北京冶金设备研究院译.html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关键词搜索：https://www.jiaokey.com/tag/机械零件的修复.html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