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大战和中立国</w:t>
      </w:r>
    </w:p>
    <w:p>
      <w:r>
        <w:rPr>
          <w:rFonts w:ascii="宋体" w:hAnsi="宋体" w:eastAsia="宋体"/>
          <w:sz w:val="24"/>
        </w:rPr>
        <w:t>（英）托因比（A.Toynbee），（英）托因比（V.M.Toynbee）编；上海电机厂职工大学业余翻译班译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大战和中立国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（英）托因比（A.Toynbee），（英）托因比（V.M.Toynbee）编；上海电机厂职工大学业余翻译班译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本书出售、求购地址：https://www.jiaokey.com/book/detail/10252445.html</w:t>
      </w:r>
    </w:p>
    <w:p>
      <w:r>
        <w:t>更多相关图书推荐：https://www.jiaokey.com</w:t>
      </w:r>
    </w:p>
    <w:p>
      <w:r>
        <w:t>（英）托因比（A.Toynbee），（英）托因比（V.M.Toynbee）编；上海电机厂职工大学业余翻译班译 其他作品：https://www.jiaokey.com/tag/（英）托因比（A.Toynbee），（英）托因比（V.M.Toynbee）编；上海电机厂职工大学业余翻译班译.html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关键词搜索：https://www.jiaokey.com/tag/大战和中立国.html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