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大熊猫个体不同性活跃能力的行比较</w:t>
      </w:r>
    </w:p>
    <w:p>
      <w:r>
        <w:rPr>
          <w:rFonts w:ascii="宋体" w:hAnsi="宋体" w:eastAsia="宋体"/>
          <w:sz w:val="24"/>
        </w:rPr>
        <w:t>刘定震，孙儒泳等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大熊猫个体不同性活跃能力的行比较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刘定震，孙儒泳等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本书出售、求购地址：https://www.jiaokey.com/book/detail/10251813.html</w:t>
      </w:r>
    </w:p>
    <w:p>
      <w:r>
        <w:t>更多相关图书推荐：https://www.jiaokey.com</w:t>
      </w:r>
    </w:p>
    <w:p>
      <w:r>
        <w:t>刘定震，孙儒泳等 其他作品：https://www.jiaokey.com/tag/刘定震，孙儒泳等.html</w:t>
      </w:r>
    </w:p>
    <w:p>
      <w:r>
        <w:t>关键词搜索：https://www.jiaokey.com/tag/大熊猫个体不同性活跃能力的行比较.html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