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 第五分册 胎模锻、锤上模锻和高速锤上模锻</w:t>
      </w:r>
    </w:p>
    <w:p>
      <w:r>
        <w:rPr>
          <w:rFonts w:ascii="宋体" w:hAnsi="宋体" w:eastAsia="宋体"/>
          <w:sz w:val="24"/>
        </w:rPr>
        <w:t>锻工手册编写组编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 第五分册 胎模锻、锤上模锻和高速锤上模锻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本书出售、求购地址：https://www.jiaokey.com/book/detail/10251521.html</w:t>
      </w:r>
    </w:p>
    <w:p>
      <w:r>
        <w:t>更多相关图书推荐：https://www.jiaokey.com</w:t>
      </w:r>
    </w:p>
    <w:p>
      <w:r>
        <w:t>锻工手册编写组编 其他作品：https://www.jiaokey.com/tag/锻工手册编写组编.html</w:t>
      </w:r>
    </w:p>
    <w:p>
      <w:r>
        <w:t>关键词搜索：https://www.jiaokey.com/tag/锻工手册  第五分册 胎模锻、锤上模锻和高速锤上模锻.html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