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液体火箭发动机控制与动态特性理论</w:t>
      </w:r>
    </w:p>
    <w:p>
      <w:r>
        <w:rPr>
          <w:rFonts w:ascii="宋体" w:hAnsi="宋体" w:eastAsia="宋体"/>
          <w:sz w:val="24"/>
        </w:rPr>
        <w:t>陈启智编著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液体火箭发动机控制与动态特性理论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陈启智编著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本书出售、求购地址：https://www.jiaokey.com/book/detail/10247118.html</w:t>
      </w:r>
    </w:p>
    <w:p>
      <w:r>
        <w:t>更多相关图书推荐：https://www.jiaokey.com</w:t>
      </w:r>
    </w:p>
    <w:p>
      <w:r>
        <w:t>陈启智编著 其他作品：https://www.jiaokey.com/tag/陈启智编著.html</w:t>
      </w:r>
    </w:p>
    <w:p>
      <w:r>
        <w:t>关键词搜索：https://www.jiaokey.com/tag/液体火箭发动机控制与动态特性理论.html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