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“世界战略格局研究”参阅资料之五  国际红十字和红新月运动章程</w:t>
      </w:r>
    </w:p>
    <w:p>
      <w:r>
        <w:rPr>
          <w:rFonts w:ascii="宋体" w:hAnsi="宋体" w:eastAsia="宋体"/>
          <w:sz w:val="24"/>
        </w:rPr>
        <w:t>中国人民解放军国防大学科研部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“世界战略格局研究”参阅资料之五  国际红十字和红新月运动章程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本书出售、求购地址：https://www.jiaokey.com/book/detail/10240506.html</w:t>
      </w:r>
    </w:p>
    <w:p>
      <w:r>
        <w:t>更多相关图书推荐：https://www.jiaokey.com</w:t>
      </w:r>
    </w:p>
    <w:p>
      <w:r>
        <w:t>中国人民解放军国防大学科研部 其他作品：https://www.jiaokey.com/tag/中国人民解放军国防大学科研部.html</w:t>
      </w:r>
    </w:p>
    <w:p>
      <w:r>
        <w:t>关键词搜索：https://www.jiaokey.com/tag/“世界战略格局研究”参阅资料之五  国际红十字和红新月运动章程.html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