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分岔理论和耗散结构的计算方法</w:t>
      </w:r>
    </w:p>
    <w:p>
      <w:r>
        <w:rPr>
          <w:rFonts w:ascii="宋体" w:hAnsi="宋体" w:eastAsia="宋体"/>
          <w:sz w:val="24"/>
        </w:rPr>
        <w:t>M·库比切克，M·马雷克著；刘式达，刘式适译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分岔理论和耗散结构的计算方法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M·库比切克，M·马雷克著；刘式达，刘式适译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本书出售、求购地址：https://www.jiaokey.com/book/detail/10236905.html</w:t>
      </w:r>
    </w:p>
    <w:p>
      <w:r>
        <w:t>更多相关图书推荐：https://www.jiaokey.com</w:t>
      </w:r>
    </w:p>
    <w:p>
      <w:r>
        <w:t>M·库比切克，M·马雷克著；刘式达，刘式适译 其他作品：https://www.jiaokey.com/tag/M·库比切克，M·马雷克著；刘式达，刘式适译.html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关键词搜索：https://www.jiaokey.com/tag/分岔理论和耗散结构的计算方法.html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