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罗马盛衰原因论  （附：论趣味）</w:t>
      </w:r>
    </w:p>
    <w:p>
      <w:r>
        <w:rPr>
          <w:rFonts w:ascii="宋体" w:hAnsi="宋体" w:eastAsia="宋体"/>
          <w:sz w:val="24"/>
        </w:rPr>
        <w:t>（法）孟德斯鸠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罗马盛衰原因论  （附：论趣味）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本书出售、求购地址：https://www.jiaokey.com/book/detail/10232181.html</w:t>
      </w:r>
    </w:p>
    <w:p>
      <w:r>
        <w:t>更多相关图书推荐：https://www.jiaokey.com</w:t>
      </w:r>
    </w:p>
    <w:p>
      <w:r>
        <w:t>（法）孟德斯鸠 其他作品：https://www.jiaokey.com/tag/（法）孟德斯鸠.html</w:t>
      </w:r>
    </w:p>
    <w:p>
      <w:r>
        <w:t>关键词搜索：https://www.jiaokey.com/tag/罗马盛衰原因论  （附：论趣味）.html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