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南斯拉夫“实践派”的历史和理论</w:t>
      </w:r>
    </w:p>
    <w:p>
      <w:r>
        <w:rPr>
          <w:rFonts w:ascii="宋体" w:hAnsi="宋体" w:eastAsia="宋体"/>
          <w:sz w:val="24"/>
        </w:rPr>
        <w:t>（南）马尔科维奇，（南）彼德洛维奇编；郑一明，曲跃厚译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南斯拉夫“实践派”的历史和理论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（南）马尔科维奇，（南）彼德洛维奇编；郑一明，曲跃厚译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本书出售、求购地址：https://www.jiaokey.com/book/detail/10230639.html</w:t>
      </w:r>
    </w:p>
    <w:p>
      <w:r>
        <w:t>更多相关图书推荐：https://www.jiaokey.com</w:t>
      </w:r>
    </w:p>
    <w:p>
      <w:r>
        <w:t>（南）马尔科维奇，（南）彼德洛维奇编；郑一明，曲跃厚译 其他作品：https://www.jiaokey.com/tag/（南）马尔科维奇，（南）彼德洛维奇编；郑一明，曲跃厚译.html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关键词搜索：https://www.jiaokey.com/tag/南斯拉夫“实践派”的历史和理论.html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