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欧洲早期资产阶级革命时期的唯物主义和唯心主义</w:t>
      </w:r>
    </w:p>
    <w:p>
      <w:r>
        <w:rPr>
          <w:rFonts w:ascii="宋体" w:hAnsi="宋体" w:eastAsia="宋体"/>
          <w:sz w:val="24"/>
        </w:rPr>
        <w:t>彼·费·科洛尼茨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欧洲早期资产阶级革命时期的唯物主义和唯心主义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彼·费·科洛尼茨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北京：中共中央高级党校出版社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本书出售、求购地址：https://www.jiaokey.com/book/detail/10230349.html</w:t>
      </w:r>
    </w:p>
    <w:p>
      <w:r>
        <w:t>更多相关图书推荐：https://www.jiaokey.com</w:t>
      </w:r>
    </w:p>
    <w:p>
      <w:r>
        <w:t>彼·费·科洛尼茨 其他作品：https://www.jiaokey.com/tag/彼·费·科洛尼茨.html</w:t>
      </w:r>
    </w:p>
    <w:p>
      <w:r>
        <w:t>北京：中共中央高级党校出版社 出版图书：https://www.jiaokey.com/tag/北京：中共中央高级党校出版社.html</w:t>
      </w:r>
    </w:p>
    <w:p>
      <w:r>
        <w:t>关键词搜索：https://www.jiaokey.com/tag/欧洲早期资产阶级革命时期的唯物主义和唯心主义.html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