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定解宝灯论  讲义</w:t>
      </w:r>
    </w:p>
    <w:p>
      <w:r>
        <w:rPr>
          <w:rFonts w:ascii="宋体" w:hAnsi="宋体" w:eastAsia="宋体"/>
          <w:sz w:val="24"/>
        </w:rPr>
        <w:t>法王晋美彭措传授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定解宝灯论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法王晋美彭措传授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四川色达喇荣五明佛学院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本书出售、求购地址：https://www.jiaokey.com/book/detail/10229645.html</w:t>
      </w:r>
    </w:p>
    <w:p>
      <w:r>
        <w:t>更多相关图书推荐：https://www.jiaokey.com</w:t>
      </w:r>
    </w:p>
    <w:p>
      <w:r>
        <w:t>法王晋美彭措传授 其他作品：https://www.jiaokey.com/tag/法王晋美彭措传授.html</w:t>
      </w:r>
    </w:p>
    <w:p>
      <w:r>
        <w:t>四川色达喇荣五明佛学院 出版图书：https://www.jiaokey.com/tag/四川色达喇荣五明佛学院.html</w:t>
      </w:r>
    </w:p>
    <w:p>
      <w:r>
        <w:t>关键词搜索：https://www.jiaokey.com/tag/定解宝灯论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