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战后发展理论</w:t>
      </w:r>
    </w:p>
    <w:p>
      <w:r>
        <w:rPr>
          <w:rFonts w:ascii="宋体" w:hAnsi="宋体" w:eastAsia="宋体"/>
          <w:sz w:val="24"/>
        </w:rPr>
        <w:t>（美）C.P.欧曼，（美）G.韦格纳拉加著；吴正章，张琦译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（美）C.P.欧曼，（美）G.韦格纳拉加著；吴正章，张琦译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本书出售、求购地址：https://www.jiaokey.com/book/detail/10229209.html</w:t>
      </w:r>
    </w:p>
    <w:p>
      <w:r>
        <w:t>更多相关图书推荐：https://www.jiaokey.com</w:t>
      </w:r>
    </w:p>
    <w:p>
      <w:r>
        <w:t>（美）C.P.欧曼，（美）G.韦格纳拉加著；吴正章，张琦译 其他作品：https://www.jiaokey.com/tag/（美）C.P.欧曼，（美）G.韦格纳拉加著；吴正章，张琦译.html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关键词搜索：https://www.jiaokey.com/tag/战后发展理论.html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