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面向对象的应用开发环境与VisualAge C++</w:t>
      </w:r>
    </w:p>
    <w:p>
      <w:r>
        <w:rPr>
          <w:rFonts w:ascii="宋体" w:hAnsi="宋体" w:eastAsia="宋体"/>
          <w:sz w:val="24"/>
        </w:rPr>
        <w:t>（美）M.卡雷尔-比利亚德（M.Carrel-Billiard）等著；邵丹华，张波译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面向对象的应用开发环境与VisualAge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（美）M.卡雷尔-比利亚德（M.Carrel-Billiard）等著；邵丹华，张波译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本书出售、求购地址：https://www.jiaokey.com/book/detail/10205552.html</w:t>
      </w:r>
    </w:p>
    <w:p>
      <w:r>
        <w:t>更多相关图书推荐：https://www.jiaokey.com</w:t>
      </w:r>
    </w:p>
    <w:p>
      <w:r>
        <w:t>（美）M.卡雷尔-比利亚德（M.Carrel-Billiard）等著；邵丹华，张波译 其他作品：https://www.jiaokey.com/tag/（美）M.卡雷尔-比利亚德（M.Carrel-Billiard）等著；邵丹华，张波译.html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关键词搜索：https://www.jiaokey.com/tag/面向对象的应用开发环境与VisualAge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