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河船蒸汽动力装置热线图</w:t>
      </w:r>
    </w:p>
    <w:p>
      <w:r>
        <w:rPr>
          <w:rFonts w:ascii="宋体" w:hAnsi="宋体" w:eastAsia="宋体"/>
          <w:sz w:val="24"/>
        </w:rPr>
        <w:t>（苏）格鲁勃钦柯（А.И.Голубченко）著；顾志明，张重超译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河船蒸汽动力装置热线图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（苏）格鲁勃钦柯（А.И.Голубченко）著；顾志明，张重超译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本书出售、求购地址：https://www.jiaokey.com/book/detail/10202913.html</w:t>
      </w:r>
    </w:p>
    <w:p>
      <w:r>
        <w:t>更多相关图书推荐：https://www.jiaokey.com</w:t>
      </w:r>
    </w:p>
    <w:p>
      <w:r>
        <w:t>（苏）格鲁勃钦柯（А.И.Голубченко）著；顾志明，张重超译 其他作品：https://www.jiaokey.com/tag/（苏）格鲁勃钦柯（А.И.Голубченко）著；顾志明，张重超译.html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关键词搜索：https://www.jiaokey.com/tag/河船蒸汽动力装置热线图.html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