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内河航道标志</w:t>
      </w:r>
    </w:p>
    <w:p>
      <w:r>
        <w:rPr>
          <w:rFonts w:ascii="宋体" w:hAnsi="宋体" w:eastAsia="宋体"/>
          <w:sz w:val="24"/>
        </w:rPr>
        <w:t>（苏）格利高尔耶夫（С.Н.Григорьев）著；张来茂等译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内河航道标志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（苏）格利高尔耶夫（С.Н.Григорьев）著；张来茂等译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本书出售、求购地址：https://www.jiaokey.com/book/detail/10202742.html</w:t>
      </w:r>
    </w:p>
    <w:p>
      <w:r>
        <w:t>更多相关图书推荐：https://www.jiaokey.com</w:t>
      </w:r>
    </w:p>
    <w:p>
      <w:r>
        <w:t>（苏）格利高尔耶夫（С.Н.Григорьев）著；张来茂等译 其他作品：https://www.jiaokey.com/tag/（苏）格利高尔耶夫（С.Н.Григорьев）著；张来茂等译.html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关键词搜索：https://www.jiaokey.com/tag/内河航道标志.html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