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从现在到2000年教育内容发展的全球展望</w:t>
      </w:r>
    </w:p>
    <w:p>
      <w:r>
        <w:rPr>
          <w:rFonts w:ascii="宋体" w:hAnsi="宋体" w:eastAsia="宋体"/>
          <w:sz w:val="24"/>
        </w:rPr>
        <w:t>（伊朗）拉塞克，（罗马尼亚）维迪努著；马胜利等译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从现在到2000年教育内容发展的全球展望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（伊朗）拉塞克，（罗马尼亚）维迪努著；马胜利等译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本书出售、求购地址：https://www.jiaokey.com/book/detail/10200624.html</w:t>
      </w:r>
    </w:p>
    <w:p>
      <w:r>
        <w:t>更多相关图书推荐：https://www.jiaokey.com</w:t>
      </w:r>
    </w:p>
    <w:p>
      <w:r>
        <w:t>（伊朗）拉塞克，（罗马尼亚）维迪努著；马胜利等译 其他作品：https://www.jiaokey.com/tag/（伊朗）拉塞克，（罗马尼亚）维迪努著；马胜利等译.html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关键词搜索：https://www.jiaokey.com/tag/从现在到2000年教育内容发展的全球展望.html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