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实用公差指南</w:t>
      </w:r>
    </w:p>
    <w:p>
      <w:r>
        <w:rPr>
          <w:rFonts w:ascii="宋体" w:hAnsi="宋体" w:eastAsia="宋体"/>
          <w:sz w:val="24"/>
        </w:rPr>
        <w:t>（美）斯波茨（Spotts，M.F.）著；杨 青，廖伽尼编译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（美）斯波茨（Spotts，M.F.）著；杨 青，廖伽尼编译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本书出售、求购地址：https://www.jiaokey.com/book/detail/10198869.html</w:t>
      </w:r>
    </w:p>
    <w:p>
      <w:r>
        <w:t>更多相关图书推荐：https://www.jiaokey.com</w:t>
      </w:r>
    </w:p>
    <w:p>
      <w:r>
        <w:t>（美）斯波茨（Spotts，M.F.）著；杨 青，廖伽尼编译 其他作品：https://www.jiaokey.com/tag/（美）斯波茨（Spotts，M.F.）著；杨 青，廖伽尼编译.html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关键词搜索：https://www.jiaokey.com/tag/实用公差指南.html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