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民族音乐论</w:t>
      </w:r>
    </w:p>
    <w:p>
      <w:r>
        <w:rPr>
          <w:rFonts w:ascii="宋体" w:hAnsi="宋体" w:eastAsia="宋体"/>
          <w:sz w:val="24"/>
        </w:rPr>
        <w:t>佛格汉·威廉士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民族音乐论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佛格汉·威廉士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海燕书店刊行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本书出售、求购地址：https://www.jiaokey.com/book/detail/10196168.html</w:t>
      </w:r>
    </w:p>
    <w:p>
      <w:r>
        <w:t>更多相关图书推荐：https://www.jiaokey.com</w:t>
      </w:r>
    </w:p>
    <w:p>
      <w:r>
        <w:t>佛格汉·威廉士 其他作品：https://www.jiaokey.com/tag/佛格汉·威廉士.html</w:t>
      </w:r>
    </w:p>
    <w:p>
      <w:r>
        <w:t>海燕书店刊行 出版图书：https://www.jiaokey.com/tag/海燕书店刊行.html</w:t>
      </w:r>
    </w:p>
    <w:p>
      <w:r>
        <w:t>关键词搜索：https://www.jiaokey.com/tag/民族音乐论.html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