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音乐资料  第3辑  略论巴托克为民歌配置多声的手法</w:t>
      </w:r>
    </w:p>
    <w:p>
      <w:r>
        <w:rPr>
          <w:rFonts w:ascii="宋体" w:hAnsi="宋体" w:eastAsia="宋体"/>
          <w:sz w:val="24"/>
        </w:rPr>
        <w:t>许勇三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音乐资料  第3辑  略论巴托克为民歌配置多声的手法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许勇三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本书出售、求购地址：https://www.jiaokey.com/book/detail/10195323.html</w:t>
      </w:r>
    </w:p>
    <w:p>
      <w:r>
        <w:t>更多相关图书推荐：https://www.jiaokey.com</w:t>
      </w:r>
    </w:p>
    <w:p>
      <w:r>
        <w:t>许勇三 其他作品：https://www.jiaokey.com/tag/许勇三.html</w:t>
      </w:r>
    </w:p>
    <w:p>
      <w:r>
        <w:t>关键词搜索：https://www.jiaokey.com/tag/音乐资料  第3辑  略论巴托克为民歌配置多声的手法.html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