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有限元法在船舶结构计算中的应用</w:t>
      </w:r>
    </w:p>
    <w:p>
      <w:r>
        <w:rPr>
          <w:rFonts w:ascii="宋体" w:hAnsi="宋体" w:eastAsia="宋体"/>
          <w:sz w:val="24"/>
        </w:rPr>
        <w:t>（苏）В.А.巴斯诺夫等著；《有限元法在船舶结构计算的应用》翻译组译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有限元法在船舶结构计算中的应用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（苏）В.А.巴斯诺夫等著；《有限元法在船舶结构计算的应用》翻译组译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本书出售、求购地址：https://www.jiaokey.com/book/detail/10194754.html</w:t>
      </w:r>
    </w:p>
    <w:p>
      <w:r>
        <w:t>更多相关图书推荐：https://www.jiaokey.com</w:t>
      </w:r>
    </w:p>
    <w:p>
      <w:r>
        <w:t>（苏）В.А.巴斯诺夫等著；《有限元法在船舶结构计算的应用》翻译组译 其他作品：https://www.jiaokey.com/tag/（苏）В.А.巴斯诺夫等著；《有限元法在船舶结构计算的应用》翻译组译.html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关键词搜索：https://www.jiaokey.com/tag/有限元法在船舶结构计算中的应用.html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