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船舶线路图及图样的识图规则</w:t>
      </w:r>
    </w:p>
    <w:p>
      <w:r>
        <w:rPr>
          <w:rFonts w:ascii="宋体" w:hAnsi="宋体" w:eastAsia="宋体"/>
          <w:sz w:val="24"/>
        </w:rPr>
        <w:t>（苏）甘金，Б.Д.，（苏）麦得维坚柯，А.М.著；第一机械工业部船舶产品设计院四室专家工作科译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船舶线路图及图样的识图规则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（苏）甘金，Б.Д.，（苏）麦得维坚柯，А.М.著；第一机械工业部船舶产品设计院四室专家工作科译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本书出售、求购地址：https://www.jiaokey.com/book/detail/10194719.html</w:t>
      </w:r>
    </w:p>
    <w:p>
      <w:r>
        <w:t>更多相关图书推荐：https://www.jiaokey.com</w:t>
      </w:r>
    </w:p>
    <w:p>
      <w:r>
        <w:t>（苏）甘金，Б.Д.，（苏）麦得维坚柯，А.М.著；第一机械工业部船舶产品设计院四室专家工作科译 其他作品：https://www.jiaokey.com/tag/（苏）甘金，Б.Д.，（苏）麦得维坚柯，А.М.著；第一机械工业部船舶产品设计院四室专家工作科译.html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关键词搜索：https://www.jiaokey.com/tag/船舶线路图及图样的识图规则.html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