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船舶牵引计算</w:t>
      </w:r>
    </w:p>
    <w:p>
      <w:r>
        <w:rPr>
          <w:rFonts w:ascii="宋体" w:hAnsi="宋体" w:eastAsia="宋体"/>
          <w:sz w:val="24"/>
        </w:rPr>
        <w:t>（苏）安菲莫夫（Анфимов，В.Н.）等著；邢国江，柏桢译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船舶牵引计算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（苏）安菲莫夫（Анфимов，В.Н.）等著；邢国江，柏桢译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本书出售、求购地址：https://www.jiaokey.com/book/detail/10191394.html</w:t>
      </w:r>
    </w:p>
    <w:p>
      <w:r>
        <w:t>更多相关图书推荐：https://www.jiaokey.com</w:t>
      </w:r>
    </w:p>
    <w:p>
      <w:r>
        <w:t>（苏）安菲莫夫（Анфимов，В.Н.）等著；邢国江，柏桢译 其他作品：https://www.jiaokey.com/tag/（苏）安菲莫夫（Анфимов，В.Н.）等著；邢国江，柏桢译.html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关键词搜索：https://www.jiaokey.com/tag/船舶牵引计算.html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