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感应加热程序调节器</w:t>
      </w:r>
    </w:p>
    <w:p>
      <w:r>
        <w:rPr>
          <w:rFonts w:ascii="宋体" w:hAnsi="宋体" w:eastAsia="宋体"/>
          <w:sz w:val="24"/>
        </w:rPr>
        <w:t>（苏）М.Б.卡拉梅采娃等著；陈世环译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感应加热程序调节器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（苏）М.Б.卡拉梅采娃等著；陈世环译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本书出售、求购地址：https://www.jiaokey.com/book/detail/10185644.html</w:t>
      </w:r>
    </w:p>
    <w:p>
      <w:r>
        <w:t>更多相关图书推荐：https://www.jiaokey.com</w:t>
      </w:r>
    </w:p>
    <w:p>
      <w:r>
        <w:t>（苏）М.Б.卡拉梅采娃等著；陈世环译 其他作品：https://www.jiaokey.com/tag/（苏）М.Б.卡拉梅采娃等著；陈世环译.html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关键词搜索：https://www.jiaokey.com/tag/感应加热程序调节器.html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