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金属学与热处理手册  第11分册  热处理车间的设计原理与典型设备</w:t>
      </w:r>
    </w:p>
    <w:p>
      <w:r>
        <w:rPr>
          <w:rFonts w:ascii="宋体" w:hAnsi="宋体" w:eastAsia="宋体"/>
          <w:sz w:val="24"/>
        </w:rPr>
        <w:t>Н.Т.古德左夫，М.Л.别伦施捷茵等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金属学与热处理手册  第11分册  热处理车间的设计原理与典型设备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Н.Т.古德左夫，М.Л.别伦施捷茵等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本书出售、求购地址：https://www.jiaokey.com/book/detail/10185625.html</w:t>
      </w:r>
    </w:p>
    <w:p>
      <w:r>
        <w:t>更多相关图书推荐：https://www.jiaokey.com</w:t>
      </w:r>
    </w:p>
    <w:p>
      <w:r>
        <w:t>Н.Т.古德左夫，М.Л.别伦施捷茵等 其他作品：https://www.jiaokey.com/tag/Н.Т.古德左夫，М.Л.别伦施捷茵等.html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关键词搜索：https://www.jiaokey.com/tag/金属学与热处理手册  第11分册  热处理车间的设计原理与典型设备.html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