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无线电定位</w:t>
      </w:r>
    </w:p>
    <w:p>
      <w:r>
        <w:rPr>
          <w:rFonts w:ascii="宋体" w:hAnsi="宋体" w:eastAsia="宋体"/>
          <w:sz w:val="24"/>
        </w:rPr>
        <w:t>（苏）瑞加列夫（Л.Жигаров），（苏）沙姆舒尔（В.Шамшур）著；潘爽荪译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无线电定位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（苏）瑞加列夫（Л.Жигаров），（苏）沙姆舒尔（В.Шамшур）著；潘爽荪译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本书出售、求购地址：https://www.jiaokey.com/book/detail/10185573.html</w:t>
      </w:r>
    </w:p>
    <w:p>
      <w:r>
        <w:t>更多相关图书推荐：https://www.jiaokey.com</w:t>
      </w:r>
    </w:p>
    <w:p>
      <w:r>
        <w:t>（苏）瑞加列夫（Л.Жигаров），（苏）沙姆舒尔（В.Шамшур）著；潘爽荪译 其他作品：https://www.jiaokey.com/tag/（苏）瑞加列夫（Л.Жигаров），（苏）沙姆舒尔（В.Шамшур）著；潘爽荪译.html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关键词搜索：https://www.jiaokey.com/tag/无线电定位.html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