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运算放大器原理与应用  应用第1篇</w:t>
      </w:r>
    </w:p>
    <w:p>
      <w:r>
        <w:rPr>
          <w:rFonts w:ascii="宋体" w:hAnsi="宋体" w:eastAsia="宋体"/>
          <w:sz w:val="24"/>
        </w:rPr>
        <w:t>魏哲和博士，张懋中博士·刘淙汉合编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4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运算放大器原理与应用  应用第1篇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魏哲和博士，张懋中博士·刘淙汉合编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放大器--运算放大器--应用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本书出售、求购地址：https://www.jiaokey.com/book/detail/10184397.html</w:t>
      </w:r>
    </w:p>
    <w:p>
      <w:r>
        <w:t>更多相关图书推荐：https://www.jiaokey.com</w:t>
      </w:r>
    </w:p>
    <w:p>
      <w:r>
        <w:t>魏哲和博士，张懋中博士·刘淙汉合编 其他作品：https://www.jiaokey.com/tag/魏哲和博士，张懋中博士·刘淙汉合编.html</w:t>
      </w:r>
    </w:p>
    <w:p>
      <w:r>
        <w:t>全华科技图书公司 出版图书：https://www.jiaokey.com/tag/全华科技图书公司.html</w:t>
      </w:r>
    </w:p>
    <w:p>
      <w:r>
        <w:t>关键词搜索：https://www.jiaokey.com/tag/放大器--运算放大器--应用.html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