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第3册  特殊部分</w:t>
      </w:r>
    </w:p>
    <w:p>
      <w:r>
        <w:rPr>
          <w:rFonts w:ascii="宋体" w:hAnsi="宋体" w:eastAsia="宋体"/>
          <w:sz w:val="24"/>
        </w:rPr>
        <w:t>（苏）柯斯钦科（М.П.Костенко）著；浙江大学电机教研组译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第3册  特殊部分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（苏）柯斯钦科（М.П.Костенко）著；浙江大学电机教研组译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本书出售、求购地址：https://www.jiaokey.com/book/detail/10179678.html</w:t>
      </w:r>
    </w:p>
    <w:p>
      <w:r>
        <w:t>更多相关图书推荐：https://www.jiaokey.com</w:t>
      </w:r>
    </w:p>
    <w:p>
      <w:r>
        <w:t>（苏）柯斯钦科（М.П.Костенко）著；浙江大学电机教研组译 其他作品：https://www.jiaokey.com/tag/（苏）柯斯钦科（М.П.Костенко）著；浙江大学电机教研组译.html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关键词搜索：https://www.jiaokey.com/tag/电机学  第3册  特殊部分.html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