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激光器的电源</w:t>
      </w:r>
    </w:p>
    <w:p>
      <w:r>
        <w:rPr>
          <w:rFonts w:ascii="宋体" w:hAnsi="宋体" w:eastAsia="宋体"/>
          <w:sz w:val="24"/>
        </w:rPr>
        <w:t>（苏）波尔科夫（И.В.Волков），（苏）巴枯连柯（В.М.Вакуленка）著；孙乃庚，王世贵译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激光器的电源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（苏）波尔科夫（И.В.Волков），（苏）巴枯连柯（В.М.Вакуленка）著；孙乃庚，王世贵译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本书出售、求购地址：https://www.jiaokey.com/book/detail/10179435.html</w:t>
      </w:r>
    </w:p>
    <w:p>
      <w:r>
        <w:t>更多相关图书推荐：https://www.jiaokey.com</w:t>
      </w:r>
    </w:p>
    <w:p>
      <w:r>
        <w:t>（苏）波尔科夫（И.В.Волков），（苏）巴枯连柯（В.М.Вакуленка）著；孙乃庚，王世贵译 其他作品：https://www.jiaokey.com/tag/（苏）波尔科夫（И.В.Волков），（苏）巴枯连柯（В.М.Вакуленка）著；孙乃庚，王世贵译.html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关键词搜索：https://www.jiaokey.com/tag/激光器的电源.html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