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高分子金属络合物</w:t>
      </w:r>
    </w:p>
    <w:p>
      <w:r>
        <w:rPr>
          <w:rFonts w:ascii="宋体" w:hAnsi="宋体" w:eastAsia="宋体"/>
          <w:sz w:val="24"/>
        </w:rPr>
        <w:t>（意）（F.恰尔代利）F.Ciardelli等编；张志奇，张举贤译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高分子金属络合物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（意）（F.恰尔代利）F.Ciardelli等编；张志奇，张举贤译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本书出售、求购地址：https://www.jiaokey.com/book/detail/10176348.html</w:t>
      </w:r>
    </w:p>
    <w:p>
      <w:r>
        <w:t>更多相关图书推荐：https://www.jiaokey.com</w:t>
      </w:r>
    </w:p>
    <w:p>
      <w:r>
        <w:t>（意）（F.恰尔代利）F.Ciardelli等编；张志奇，张举贤译 其他作品：https://www.jiaokey.com/tag/（意）（F.恰尔代利）F.Ciardelli等编；张志奇，张举贤译.html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关键词搜索：https://www.jiaokey.com/tag/高分子金属络合物.html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