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原油深度加工过程催化剂</w:t>
      </w:r>
    </w:p>
    <w:p>
      <w:r>
        <w:rPr>
          <w:rFonts w:ascii="宋体" w:hAnsi="宋体" w:eastAsia="宋体"/>
          <w:sz w:val="24"/>
        </w:rPr>
        <w:t>（俄）Б.К.涅费多夫（Б.К.Нефедов）等著；李奉孝，黄志渊译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原油深度加工过程催化剂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（俄）Б.К.涅费多夫（Б.К.Нефедов）等著；李奉孝，黄志渊译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本书出售、求购地址：https://www.jiaokey.com/book/detail/10175070.html</w:t>
      </w:r>
    </w:p>
    <w:p>
      <w:r>
        <w:t>更多相关图书推荐：https://www.jiaokey.com</w:t>
      </w:r>
    </w:p>
    <w:p>
      <w:r>
        <w:t>（俄）Б.К.涅费多夫（Б.К.Нефедов）等著；李奉孝，黄志渊译 其他作品：https://www.jiaokey.com/tag/（俄）Б.К.涅费多夫（Б.К.Нефедов）等著；李奉孝，黄志渊译.html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关键词搜索：https://www.jiaokey.com/tag/原油深度加工过程催化剂.html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