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石油化学工业手册  （下册）  石油化学合成的最终产品</w:t>
      </w:r>
    </w:p>
    <w:p>
      <w:r>
        <w:rPr>
          <w:rFonts w:ascii="宋体" w:hAnsi="宋体" w:eastAsia="宋体"/>
          <w:sz w:val="24"/>
        </w:rPr>
        <w:t>安东新午 雨宫登三 川濑义和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石油化学工业手册  （下册）  石油化学合成的最终产品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安东新午 雨宫登三 川濑义和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本书出售、求购地址：https://www.jiaokey.com/book/detail/10174697.html</w:t>
      </w:r>
    </w:p>
    <w:p>
      <w:r>
        <w:t>更多相关图书推荐：https://www.jiaokey.com</w:t>
      </w:r>
    </w:p>
    <w:p>
      <w:r>
        <w:t>安东新午 雨宫登三 川濑义和 其他作品：https://www.jiaokey.com/tag/安东新午 雨宫登三 川濑义和.html</w:t>
      </w:r>
    </w:p>
    <w:p>
      <w:r>
        <w:t>化学工业出版社 出版图书：https://www.jiaokey.com/tag/化学工业出版社.html</w:t>
      </w:r>
    </w:p>
    <w:p>
      <w:r>
        <w:t>关键词搜索：https://www.jiaokey.com/tag/石油化学工业手册  （下册）  石油化学合成的最终产品.html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