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FCCU及其技术的近期进展</w:t>
      </w:r>
    </w:p>
    <w:p>
      <w:r>
        <w:rPr>
          <w:rFonts w:ascii="宋体" w:hAnsi="宋体" w:eastAsia="宋体"/>
          <w:sz w:val="24"/>
        </w:rPr>
        <w:t>钱伯章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FCCU及其技术的近期进展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上海高桥石化公司炼油厂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本书出售、求购地址：https://www.jiaokey.com/book/detail/10174280.html</w:t>
      </w:r>
    </w:p>
    <w:p>
      <w:r>
        <w:t>更多相关图书推荐：https://www.jiaokey.com</w:t>
      </w:r>
    </w:p>
    <w:p>
      <w:r>
        <w:t>钱伯章 其他作品：https://www.jiaokey.com/tag/钱伯章.html</w:t>
      </w:r>
    </w:p>
    <w:p>
      <w:r>
        <w:t>上海高桥石化公司炼油厂 出版图书：https://www.jiaokey.com/tag/上海高桥石化公司炼油厂.html</w:t>
      </w:r>
    </w:p>
    <w:p>
      <w:r>
        <w:t>关键词搜索：https://www.jiaokey.com/tag/FCCU及其技术的近期进展.html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