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光纤和光器件的测量</w:t>
      </w:r>
    </w:p>
    <w:p>
      <w:r>
        <w:rPr>
          <w:rFonts w:ascii="宋体" w:hAnsi="宋体" w:eastAsia="宋体"/>
          <w:sz w:val="24"/>
        </w:rPr>
        <w:t>（意）坎切列里（Cancellieri，G.），（意）拉瓦约利（Ravaioli，U.）著；于耀明，王洪生译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光纤和光器件的测量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（意）坎切列里（Cancellieri，G.），（意）拉瓦约利（Ravaioli，U.）著；于耀明，王洪生译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本书出售、求购地址：https://www.jiaokey.com/book/detail/10171493.html</w:t>
      </w:r>
    </w:p>
    <w:p>
      <w:r>
        <w:t>更多相关图书推荐：https://www.jiaokey.com</w:t>
      </w:r>
    </w:p>
    <w:p>
      <w:r>
        <w:t>（意）坎切列里（Cancellieri，G.），（意）拉瓦约利（Ravaioli，U.）著；于耀明，王洪生译 其他作品：https://www.jiaokey.com/tag/（意）坎切列里（Cancellieri，G.），（意）拉瓦约利（Ravaioli，U.）著；于耀明，王洪生译.html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关键词搜索：https://www.jiaokey.com/tag/光纤和光器件的测量.html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