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</w:t>
      </w:r>
    </w:p>
    <w:p>
      <w:r>
        <w:rPr>
          <w:rFonts w:ascii="宋体" w:hAnsi="宋体" w:eastAsia="宋体"/>
          <w:sz w:val="24"/>
        </w:rPr>
        <w:t>（苏）布隆什坦（И.Н.Бронштейн），（苏）谢缅佳也夫（К.А.Семендяев）著；罗零，石峥嵘译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（苏）布隆什坦（И.Н.Бронштейн），（苏）谢缅佳也夫（К.А.Семендяев）著；罗零，石峥嵘译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本书出售、求购地址：https://www.jiaokey.com/book/detail/10170333.html</w:t>
      </w:r>
    </w:p>
    <w:p>
      <w:r>
        <w:t>更多相关图书推荐：https://www.jiaokey.com</w:t>
      </w:r>
    </w:p>
    <w:p>
      <w:r>
        <w:t>（苏）布隆什坦（И.Н.Бронштейн），（苏）谢缅佳也夫（К.А.Семендяев）著；罗零，石峥嵘译 其他作品：https://www.jiaokey.com/tag/（苏）布隆什坦（И.Н.Бронштейн），（苏）谢缅佳也夫（К.А.Семендяев）著；罗零，石峥嵘译.html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