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塑料包装的成形与加工技术</w:t>
      </w:r>
    </w:p>
    <w:p>
      <w:r>
        <w:rPr>
          <w:rFonts w:ascii="宋体" w:hAnsi="宋体" w:eastAsia="宋体"/>
          <w:sz w:val="24"/>
        </w:rPr>
        <w:t>臧国忠，岳开峰，罗光源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塑料包装的成形与加工技术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臧国忠，岳开峰，罗光源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中国包装技术协会；国外包装技术杂志社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本书出售、求购地址：https://www.jiaokey.com/book/detail/10169654.html</w:t>
      </w:r>
    </w:p>
    <w:p>
      <w:r>
        <w:t>更多相关图书推荐：https://www.jiaokey.com</w:t>
      </w:r>
    </w:p>
    <w:p>
      <w:r>
        <w:t>臧国忠，岳开峰，罗光源 其他作品：https://www.jiaokey.com/tag/臧国忠，岳开峰，罗光源.html</w:t>
      </w:r>
    </w:p>
    <w:p>
      <w:r>
        <w:t>中国包装技术协会；国外包装技术杂志社 出版图书：https://www.jiaokey.com/tag/中国包装技术协会；国外包装技术杂志社.html</w:t>
      </w:r>
    </w:p>
    <w:p>
      <w:r>
        <w:t>关键词搜索：https://www.jiaokey.com/tag/塑料包装的成形与加工技术.html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