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中华精神  天工鬼爷——中华科技的慧光</w:t>
      </w:r>
    </w:p>
    <w:p>
      <w:r>
        <w:rPr>
          <w:rFonts w:ascii="宋体" w:hAnsi="宋体" w:eastAsia="宋体"/>
          <w:sz w:val="24"/>
        </w:rPr>
        <w:t>龚良 杨冬梅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中华精神  天工鬼爷——中华科技的慧光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龚良 杨冬梅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本书出售、求购地址：https://www.jiaokey.com/book/detail/10161850.html</w:t>
      </w:r>
    </w:p>
    <w:p>
      <w:r>
        <w:t>更多相关图书推荐：https://www.jiaokey.com</w:t>
      </w:r>
    </w:p>
    <w:p>
      <w:r>
        <w:t>龚良 杨冬梅 其他作品：https://www.jiaokey.com/tag/龚良 杨冬梅.html</w:t>
      </w:r>
    </w:p>
    <w:p>
      <w:r>
        <w:t>河南人民出版社 出版图书：https://www.jiaokey.com/tag/河南人民出版社.html</w:t>
      </w:r>
    </w:p>
    <w:p>
      <w:r>
        <w:t>关键词搜索：https://www.jiaokey.com/tag/中华精神  天工鬼爷——中华科技的慧光.html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