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政治系列深谷幽兰——战时“国母”风采</w:t>
      </w:r>
    </w:p>
    <w:p>
      <w:r>
        <w:rPr>
          <w:rFonts w:ascii="宋体" w:hAnsi="宋体" w:eastAsia="宋体"/>
          <w:sz w:val="24"/>
        </w:rPr>
        <w:t>唐宝林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政治系列深谷幽兰——战时“国母”风采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唐宝林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本书出售、求购地址：https://www.jiaokey.com/book/detail/10161818.html</w:t>
      </w:r>
    </w:p>
    <w:p>
      <w:r>
        <w:t>更多相关图书推荐：https://www.jiaokey.com</w:t>
      </w:r>
    </w:p>
    <w:p>
      <w:r>
        <w:t>唐宝林 其他作品：https://www.jiaokey.com/tag/唐宝林.html</w:t>
      </w:r>
    </w:p>
    <w:p>
      <w:r>
        <w:t>广西师范大学出版社 出版图书：https://www.jiaokey.com/tag/广西师范大学出版社.html</w:t>
      </w:r>
    </w:p>
    <w:p>
      <w:r>
        <w:t>关键词搜索：https://www.jiaokey.com/tag/政治系列深谷幽兰——战时“国母”风采.html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