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市场经济国家解决劳资冲突的对策</w:t>
      </w:r>
    </w:p>
    <w:p>
      <w:r>
        <w:rPr>
          <w:rFonts w:ascii="宋体" w:hAnsi="宋体" w:eastAsia="宋体"/>
          <w:sz w:val="24"/>
        </w:rPr>
        <w:t>（日）T.哈纳米，（比）R.布兰佩因主编；佘云霞等译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市场经济国家解决劳资冲突的对策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（日）T.哈纳米，（比）R.布兰佩因主编；佘云霞等译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本书出售、求购地址：https://www.jiaokey.com/book/detail/10159898.html</w:t>
      </w:r>
    </w:p>
    <w:p>
      <w:r>
        <w:t>更多相关图书推荐：https://www.jiaokey.com</w:t>
      </w:r>
    </w:p>
    <w:p>
      <w:r>
        <w:t>（日）T.哈纳米，（比）R.布兰佩因主编；佘云霞等译 其他作品：https://www.jiaokey.com/tag/（日）T.哈纳米，（比）R.布兰佩因主编；佘云霞等译.html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关键词搜索：https://www.jiaokey.com/tag/市场经济国家解决劳资冲突的对策.html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