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大学与全球知识经济</w:t>
      </w:r>
    </w:p>
    <w:p>
      <w:r>
        <w:rPr>
          <w:rFonts w:ascii="宋体" w:hAnsi="宋体" w:eastAsia="宋体"/>
          <w:sz w:val="24"/>
        </w:rPr>
        <w:t>（美）亨利·埃兹科维茨（Henry Etzkowitz），（荷）劳埃特·雷德斯多夫（L.A.Leydesdorff）编；夏道源等译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大学与全球知识经济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（美）亨利·埃兹科维茨（Henry Etzkowitz），（荷）劳埃特·雷德斯多夫（L.A.Leydesdorff）编；夏道源等译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本书出售、求购地址：https://www.jiaokey.com/book/detail/10155024.html</w:t>
      </w:r>
    </w:p>
    <w:p>
      <w:r>
        <w:t>更多相关图书推荐：https://www.jiaokey.com</w:t>
      </w:r>
    </w:p>
    <w:p>
      <w:r>
        <w:t>（美）亨利·埃兹科维茨（Henry Etzkowitz），（荷）劳埃特·雷德斯多夫（L.A.Leydesdorff）编；夏道源等译 其他作品：https://www.jiaokey.com/tag/（美）亨利·埃兹科维茨（Henry Etzkowitz），（荷）劳埃特·雷德斯多夫（L.A.Leydesdorff）编；夏道源等译.html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关键词搜索：https://www.jiaokey.com/tag/大学与全球知识经济.html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