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动态测量</w:t>
      </w:r>
    </w:p>
    <w:p>
      <w:r>
        <w:rPr>
          <w:rFonts w:ascii="宋体" w:hAnsi="宋体" w:eastAsia="宋体"/>
          <w:sz w:val="24"/>
        </w:rPr>
        <w:t>（苏）格尔诺夫斯基（Грановский，В.А.）著；傅烈堂，鲍建忠译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（苏）格尔诺夫斯基（Грановский，В.А.）著；傅烈堂，鲍建忠译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本书出售、求购地址：https://www.jiaokey.com/book/detail/10152789.html</w:t>
      </w:r>
    </w:p>
    <w:p>
      <w:r>
        <w:t>更多相关图书推荐：https://www.jiaokey.com</w:t>
      </w:r>
    </w:p>
    <w:p>
      <w:r>
        <w:t>（苏）格尔诺夫斯基（Грановский，В.А.）著；傅烈堂，鲍建忠译 其他作品：https://www.jiaokey.com/tag/（苏）格尔诺夫斯基（Грановский，В.А.）著；傅烈堂，鲍建忠译.html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关键词搜索：https://www.jiaokey.com/tag/动态测量.html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