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第9分册  特殊钢与特殊合金</w:t>
      </w:r>
    </w:p>
    <w:p>
      <w:r>
        <w:rPr>
          <w:rFonts w:ascii="宋体" w:hAnsi="宋体" w:eastAsia="宋体"/>
          <w:sz w:val="24"/>
        </w:rPr>
        <w:t>（苏）古德佐夫（Н.Т.Гудцов）等主编；吴兵，孙一唐译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第9分册  特殊钢与特殊合金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（苏）古德佐夫（Н.Т.Гудцов）等主编；吴兵，孙一唐译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本书出售、求购地址：https://www.jiaokey.com/book/detail/10133198.html</w:t>
      </w:r>
    </w:p>
    <w:p>
      <w:r>
        <w:t>更多相关图书推荐：https://www.jiaokey.com</w:t>
      </w:r>
    </w:p>
    <w:p>
      <w:r>
        <w:t>（苏）古德佐夫（Н.Т.Гудцов）等主编；吴兵，孙一唐译 其他作品：https://www.jiaokey.com/tag/（苏）古德佐夫（Н.Т.Гудцов）等主编；吴兵，孙一唐译.html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关键词搜索：https://www.jiaokey.com/tag/金属学与热处理手册  第9分册  特殊钢与特殊合金.html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