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Differentiation Characteristics of Cybrid K-RRneo Cells</w:t>
      </w:r>
    </w:p>
    <w:p>
      <w:r>
        <w:rPr>
          <w:rFonts w:ascii="宋体" w:hAnsi="宋体" w:eastAsia="宋体"/>
          <w:sz w:val="24"/>
        </w:rPr>
        <w:t>MA Wen-li(马文丽)and XUE She-Pu(薛社普)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Differentiation Characteristics of Cybrid K-RRneo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Wen-li(马文丽)and XUE She-Pu(薛社普)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本书出售、求购地址：https://www.jiaokey.com/book/detail/10126339.html</w:t>
      </w:r>
    </w:p>
    <w:p>
      <w:r>
        <w:t>更多相关图书推荐：https://www.jiaokey.com</w:t>
      </w:r>
    </w:p>
    <w:p>
      <w:r>
        <w:t>MA Wen-li(马文丽)and XUE She-Pu(薛社普) 其他作品：https://www.jiaokey.com/tag/MA Wen-li(马文丽)and XUE She-Pu(薛社普).html</w:t>
      </w:r>
    </w:p>
    <w:p>
      <w:r>
        <w:t>关键词搜索：https://www.jiaokey.com/tag/Growth and Differentiation Characteristics of Cybrid K-RRneo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