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戏剧结构</w:t>
      </w:r>
    </w:p>
    <w:p>
      <w:r>
        <w:rPr>
          <w:rFonts w:ascii="宋体" w:hAnsi="宋体" w:eastAsia="宋体"/>
          <w:sz w:val="24"/>
        </w:rPr>
        <w:t>（苏）霍洛道夫（Е.Холодов）著；李明琨，高士彦译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（苏）霍洛道夫（Е.Холодов）著；李明琨，高士彦译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本书出售、求购地址：https://www.jiaokey.com/book/detail/10122051.html</w:t>
      </w:r>
    </w:p>
    <w:p>
      <w:r>
        <w:t>更多相关图书推荐：https://www.jiaokey.com</w:t>
      </w:r>
    </w:p>
    <w:p>
      <w:r>
        <w:t>（苏）霍洛道夫（Е.Холодов）著；李明琨，高士彦译 其他作品：https://www.jiaokey.com/tag/（苏）霍洛道夫（Е.Холодов）著；李明琨，高士彦译.html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关键词搜索：https://www.jiaokey.com/tag/戏剧结构.html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