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上册 下册</w:t>
      </w:r>
    </w:p>
    <w:p>
      <w:r>
        <w:rPr>
          <w:rFonts w:ascii="宋体" w:hAnsi="宋体" w:eastAsia="宋体"/>
          <w:sz w:val="24"/>
        </w:rPr>
        <w:t>（德）威廉·戚美尔曼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上册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本书出售、求购地址：https://www.jiaokey.com/book/detail/10117518.html</w:t>
      </w:r>
    </w:p>
    <w:p>
      <w:r>
        <w:t>更多相关图书推荐：https://www.jiaokey.com</w:t>
      </w:r>
    </w:p>
    <w:p>
      <w:r>
        <w:t>（德）威廉·戚美尔曼 其他作品：https://www.jiaokey.com/tag/（德）威廉·戚美尔曼.html</w:t>
      </w:r>
    </w:p>
    <w:p>
      <w:r>
        <w:t>商务印书馆 出版图书：https://www.jiaokey.com/tag/商务印书馆.html</w:t>
      </w:r>
    </w:p>
    <w:p>
      <w:r>
        <w:t>关键词搜索：https://www.jiaokey.com/tag/伟大的德国农民战争 上册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