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宪法要鉴下编</w:t>
      </w:r>
    </w:p>
    <w:p>
      <w:r>
        <w:rPr>
          <w:rFonts w:ascii="宋体" w:hAnsi="宋体" w:eastAsia="宋体"/>
          <w:sz w:val="24"/>
        </w:rPr>
        <w:t>何基鸿，沈钧儒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宪法要鉴下编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何基鸿，沈钧儒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本书出售、求购地址：https://www.jiaokey.com/book/detail/10109625.html</w:t>
      </w:r>
    </w:p>
    <w:p>
      <w:r>
        <w:t>更多相关图书推荐：https://www.jiaokey.com</w:t>
      </w:r>
    </w:p>
    <w:p>
      <w:r>
        <w:t>何基鸿，沈钧儒 其他作品：https://www.jiaokey.com/tag/何基鸿，沈钧儒.html</w:t>
      </w:r>
    </w:p>
    <w:p>
      <w:r>
        <w:t>京华印书局 出版图书：https://www.jiaokey.com/tag/京华印书局.html</w:t>
      </w:r>
    </w:p>
    <w:p>
      <w:r>
        <w:t>关键词搜索：https://www.jiaokey.com/tag/宪法要鉴下编.html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