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特殊钢企业结构模式</w:t>
      </w:r>
    </w:p>
    <w:p>
      <w:r>
        <w:rPr>
          <w:rFonts w:ascii="宋体" w:hAnsi="宋体" w:eastAsia="宋体"/>
          <w:sz w:val="24"/>
        </w:rPr>
        <w:t>冶金部信息标准研究院，中国冶金技术公司电炉新技术开发中心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特殊钢企业结构模式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冶金部信息标准研究院，中国冶金技术公司电炉新技术开发中心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本书出售、求购地址：https://www.jiaokey.com/book/detail/10106188.html</w:t>
      </w:r>
    </w:p>
    <w:p>
      <w:r>
        <w:t>更多相关图书推荐：https://www.jiaokey.com</w:t>
      </w:r>
    </w:p>
    <w:p>
      <w:r>
        <w:t>冶金部信息标准研究院，中国冶金技术公司电炉新技术开发中心 其他作品：https://www.jiaokey.com/tag/冶金部信息标准研究院，中国冶金技术公司电炉新技术开发中心.html</w:t>
      </w:r>
    </w:p>
    <w:p>
      <w:r>
        <w:t>关键词搜索：https://www.jiaokey.com/tag/特殊钢企业结构模式.html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