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金相显示剂手册</w:t>
      </w:r>
    </w:p>
    <w:p>
      <w:r>
        <w:rPr>
          <w:rFonts w:ascii="宋体" w:hAnsi="宋体" w:eastAsia="宋体"/>
          <w:sz w:val="24"/>
        </w:rPr>
        <w:t>（苏）科瓦连科（В.С.Коваленко）著；李云盛，郑运荣译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金相显示剂手册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（苏）科瓦连科（В.С.Коваленко）著；李云盛，郑运荣译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本书出售、求购地址：https://www.jiaokey.com/book/detail/10105689.html</w:t>
      </w:r>
    </w:p>
    <w:p>
      <w:r>
        <w:t>更多相关图书推荐：https://www.jiaokey.com</w:t>
      </w:r>
    </w:p>
    <w:p>
      <w:r>
        <w:t>（苏）科瓦连科（В.С.Коваленко）著；李云盛，郑运荣译 其他作品：https://www.jiaokey.com/tag/（苏）科瓦连科（В.С.Коваленко）著；李云盛，郑运荣译.html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关键词搜索：https://www.jiaokey.com/tag/金相显示剂手册.html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