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解析不等式</w:t>
      </w:r>
    </w:p>
    <w:p>
      <w:r>
        <w:rPr>
          <w:rFonts w:ascii="宋体" w:hAnsi="宋体" w:eastAsia="宋体"/>
          <w:sz w:val="24"/>
        </w:rPr>
        <w:t>（南）密特利诺维奇（Mitrinovic，D.S.）著；张小萍，王龙译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（南）密特利诺维奇（Mitrinovic，D.S.）著；张小萍，王龙译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本书出售、求购地址：https://www.jiaokey.com/book/detail/10099790.html</w:t>
      </w:r>
    </w:p>
    <w:p>
      <w:r>
        <w:t>更多相关图书推荐：https://www.jiaokey.com</w:t>
      </w:r>
    </w:p>
    <w:p>
      <w:r>
        <w:t>（南）密特利诺维奇（Mitrinovic，D.S.）著；张小萍，王龙译 其他作品：https://www.jiaokey.com/tag/（南）密特利诺维奇（Mitrinovic，D.S.）著；张小萍，王龙译.html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关键词搜索：https://www.jiaokey.com/tag/解析不等式.html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