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口笔译概论</w:t>
      </w:r>
    </w:p>
    <w:p>
      <w:r>
        <w:rPr>
          <w:rFonts w:ascii="宋体" w:hAnsi="宋体" w:eastAsia="宋体"/>
          <w:sz w:val="24"/>
        </w:rPr>
        <w:t>（法）赛莱斯科维奇（Seleskovitch，Danica），（法）勒德雷尔（Lederer，Mariance）著；孙慧双译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口笔译概论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（法）赛莱斯科维奇（Seleskovitch，Danica），（法）勒德雷尔（Lederer，Mariance）著；孙慧双译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本书出售、求购地址：https://www.jiaokey.com/book/detail/10098222.html</w:t>
      </w:r>
    </w:p>
    <w:p>
      <w:r>
        <w:t>更多相关图书推荐：https://www.jiaokey.com</w:t>
      </w:r>
    </w:p>
    <w:p>
      <w:r>
        <w:t>（法）赛莱斯科维奇（Seleskovitch，Danica），（法）勒德雷尔（Lederer，Mariance）著；孙慧双译 其他作品：https://www.jiaokey.com/tag/（法）赛莱斯科维奇（Seleskovitch，Danica），（法）勒德雷尔（Lederer，Mariance）著；孙慧双译.html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关键词搜索：https://www.jiaokey.com/tag/口笔译概论.html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